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Change to Teacher Strike Day Arrangements for Year 11 Only.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Parent/Carer,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Following my letter regarding strike action, the NEU has provided special dispensation for teachers of exam years which means that teachers can legitimately break the strike to teach their Year 11 classes only.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As a result of this, although we can not be certain that all classes will have their normal teacher, Year 11 students will be able to begin at the normal school start times on Thursday 27th April and Tuesday 2nd May.  I am pleased that the NEU have changed their approach to this which allows all Year 11 lessons to go ahead.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is a change to my previous letter and all Year 11 students should arrive during the normal window of 8:45-8:55 on Thursday 27th April and Tuesday 2nd May.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Yours sincerely,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Mr J Burridge</w:t>
      </w:r>
    </w:p>
    <w:p w:rsidR="00000000" w:rsidDel="00000000" w:rsidP="00000000" w:rsidRDefault="00000000" w:rsidRPr="00000000" w14:paraId="0000000F">
      <w:pPr>
        <w:rPr/>
      </w:pPr>
      <w:r w:rsidDel="00000000" w:rsidR="00000000" w:rsidRPr="00000000">
        <w:rPr>
          <w:rtl w:val="0"/>
        </w:rPr>
        <w:t xml:space="preserve">Headteacher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